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41350C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>
        <w:rPr>
          <w:rFonts w:cs="Times New Roman"/>
          <w:sz w:val="28"/>
          <w:szCs w:val="28"/>
        </w:rPr>
        <w:t>58</w:t>
      </w:r>
      <w:r w:rsidRPr="00152858">
        <w:rPr>
          <w:rFonts w:cs="Times New Roman"/>
          <w:sz w:val="28"/>
          <w:szCs w:val="28"/>
        </w:rPr>
        <w:t xml:space="preserve">, площадью </w:t>
      </w:r>
      <w:r>
        <w:rPr>
          <w:rFonts w:cs="Times New Roman"/>
          <w:sz w:val="28"/>
          <w:szCs w:val="28"/>
        </w:rPr>
        <w:t>32,4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>
        <w:rPr>
          <w:sz w:val="28"/>
          <w:szCs w:val="28"/>
        </w:rPr>
        <w:t>0715005:2050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>
        <w:rPr>
          <w:rFonts w:cs="Times New Roman"/>
          <w:sz w:val="28"/>
          <w:szCs w:val="28"/>
        </w:rPr>
        <w:t>350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проспекту Карла Маркса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правообладатель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>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3B">
        <w:rPr>
          <w:sz w:val="28"/>
          <w:szCs w:val="28"/>
        </w:rPr>
        <w:t>свидетельство о праве на наследство по завещанию от 10.09.1997г.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AC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1350C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013B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2023-11-02T13:27:00Z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