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0B56EB">
        <w:rPr>
          <w:rFonts w:cs="Times New Roman"/>
          <w:sz w:val="28"/>
          <w:szCs w:val="28"/>
        </w:rPr>
        <w:t>20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0B56EB">
        <w:rPr>
          <w:rFonts w:cs="Times New Roman"/>
          <w:sz w:val="28"/>
          <w:szCs w:val="28"/>
        </w:rPr>
        <w:t>42,40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0B56EB">
        <w:rPr>
          <w:sz w:val="28"/>
          <w:szCs w:val="28"/>
        </w:rPr>
        <w:t>0731001:1647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0B56EB">
        <w:rPr>
          <w:rFonts w:cs="Times New Roman"/>
          <w:sz w:val="28"/>
          <w:szCs w:val="28"/>
        </w:rPr>
        <w:t>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0B56EB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</w:t>
      </w:r>
      <w:r w:rsidR="000B56EB">
        <w:rPr>
          <w:sz w:val="28"/>
          <w:szCs w:val="28"/>
        </w:rPr>
        <w:t xml:space="preserve"> купли-продажи квартиры</w:t>
      </w:r>
      <w:r w:rsidR="009D21D0">
        <w:rPr>
          <w:sz w:val="28"/>
          <w:szCs w:val="28"/>
        </w:rPr>
        <w:t xml:space="preserve"> от </w:t>
      </w:r>
      <w:r w:rsidR="000B56EB">
        <w:rPr>
          <w:sz w:val="28"/>
          <w:szCs w:val="28"/>
        </w:rPr>
        <w:t>18.02.1998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43" w:rsidRDefault="00DE4C43" w:rsidP="00322B05">
      <w:pPr>
        <w:spacing w:after="0" w:line="240" w:lineRule="auto"/>
      </w:pPr>
      <w:r>
        <w:separator/>
      </w:r>
    </w:p>
  </w:endnote>
  <w:endnote w:type="continuationSeparator" w:id="0">
    <w:p w:rsidR="00DE4C43" w:rsidRDefault="00DE4C4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43" w:rsidRDefault="00DE4C43" w:rsidP="00322B05">
      <w:pPr>
        <w:spacing w:after="0" w:line="240" w:lineRule="auto"/>
      </w:pPr>
      <w:r>
        <w:separator/>
      </w:r>
    </w:p>
  </w:footnote>
  <w:footnote w:type="continuationSeparator" w:id="0">
    <w:p w:rsidR="00DE4C43" w:rsidRDefault="00DE4C4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56EB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E4C43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