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36" w:rsidRDefault="005A7B36" w:rsidP="006E7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B36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в 2018 году муниципальной программы Промышленного внутригородского района городского округа Самара  </w:t>
      </w:r>
    </w:p>
    <w:p w:rsidR="006C72F5" w:rsidRPr="005A7B36" w:rsidRDefault="005A7B36" w:rsidP="006E7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B36">
        <w:rPr>
          <w:rFonts w:ascii="Times New Roman" w:hAnsi="Times New Roman" w:cs="Times New Roman"/>
          <w:sz w:val="28"/>
          <w:szCs w:val="28"/>
        </w:rPr>
        <w:t>«Комфортная городская среда» на 2018-2024 годы</w:t>
      </w:r>
    </w:p>
    <w:p w:rsidR="006C72F5" w:rsidRDefault="006C72F5" w:rsidP="006C7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6D9F" w:rsidRDefault="00BA6D9F" w:rsidP="00BA6D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FF8" w:rsidRDefault="006C72F5" w:rsidP="00BA6D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D9F">
        <w:rPr>
          <w:rFonts w:ascii="Times New Roman" w:hAnsi="Times New Roman" w:cs="Times New Roman"/>
          <w:sz w:val="28"/>
          <w:szCs w:val="28"/>
        </w:rPr>
        <w:t xml:space="preserve">Оценка степени выполнения в 2018 году мероприятий муниципальной программы Промышленного внутригородского района городского округа Самара  «Комфортная городская среда» на 2018-2024 годы </w:t>
      </w:r>
      <w:r w:rsidR="00BA6D9F" w:rsidRPr="00BA6D9F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  <w:r w:rsidRPr="00BA6D9F">
        <w:rPr>
          <w:rFonts w:ascii="Times New Roman" w:hAnsi="Times New Roman" w:cs="Times New Roman"/>
          <w:sz w:val="28"/>
          <w:szCs w:val="28"/>
        </w:rPr>
        <w:t>представляет собой отношение количества выполненных мероприятий к общему количес</w:t>
      </w:r>
      <w:r w:rsidR="006E7FF8">
        <w:rPr>
          <w:rFonts w:ascii="Times New Roman" w:hAnsi="Times New Roman" w:cs="Times New Roman"/>
          <w:sz w:val="28"/>
          <w:szCs w:val="28"/>
        </w:rPr>
        <w:t>тву запланированных мероприятий:</w:t>
      </w:r>
    </w:p>
    <w:tbl>
      <w:tblPr>
        <w:tblpPr w:leftFromText="180" w:rightFromText="180" w:vertAnchor="text" w:horzAnchor="margin" w:tblpXSpec="center" w:tblpY="367"/>
        <w:tblW w:w="43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4394"/>
        <w:gridCol w:w="1636"/>
        <w:gridCol w:w="1110"/>
        <w:gridCol w:w="1110"/>
      </w:tblGrid>
      <w:tr w:rsidR="006E7FF8" w:rsidRPr="006E7FF8" w:rsidTr="006E7FF8">
        <w:trPr>
          <w:jc w:val="center"/>
        </w:trPr>
        <w:tc>
          <w:tcPr>
            <w:tcW w:w="482" w:type="pct"/>
            <w:vMerge w:val="restart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№</w:t>
            </w:r>
          </w:p>
        </w:tc>
        <w:tc>
          <w:tcPr>
            <w:tcW w:w="2406" w:type="pct"/>
            <w:vMerge w:val="restart"/>
            <w:vAlign w:val="center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896" w:type="pct"/>
            <w:vMerge w:val="restart"/>
            <w:vAlign w:val="center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16" w:type="pct"/>
            <w:gridSpan w:val="2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Значения показателей</w:t>
            </w:r>
          </w:p>
        </w:tc>
      </w:tr>
      <w:tr w:rsidR="006E7FF8" w:rsidRPr="006E7FF8" w:rsidTr="006E7FF8">
        <w:trPr>
          <w:jc w:val="center"/>
        </w:trPr>
        <w:tc>
          <w:tcPr>
            <w:tcW w:w="482" w:type="pct"/>
            <w:vMerge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06" w:type="pct"/>
            <w:vMerge/>
            <w:vAlign w:val="center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vAlign w:val="center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08" w:type="pct"/>
          </w:tcPr>
          <w:p w:rsidR="006E7FF8" w:rsidRPr="006E7FF8" w:rsidRDefault="006E7FF8" w:rsidP="006E7FF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План</w:t>
            </w:r>
          </w:p>
        </w:tc>
        <w:tc>
          <w:tcPr>
            <w:tcW w:w="608" w:type="pct"/>
          </w:tcPr>
          <w:p w:rsidR="006E7FF8" w:rsidRPr="006E7FF8" w:rsidRDefault="006E7FF8" w:rsidP="006E7FF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Факт</w:t>
            </w:r>
          </w:p>
        </w:tc>
      </w:tr>
      <w:tr w:rsidR="006E7FF8" w:rsidRPr="006E7FF8" w:rsidTr="006E7FF8">
        <w:trPr>
          <w:jc w:val="center"/>
        </w:trPr>
        <w:tc>
          <w:tcPr>
            <w:tcW w:w="482" w:type="pct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406" w:type="pct"/>
            <w:vAlign w:val="center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896" w:type="pct"/>
            <w:vAlign w:val="center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Ед.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192</w:t>
            </w:r>
          </w:p>
        </w:tc>
        <w:tc>
          <w:tcPr>
            <w:tcW w:w="608" w:type="pct"/>
            <w:vAlign w:val="center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181</w:t>
            </w:r>
          </w:p>
        </w:tc>
      </w:tr>
      <w:tr w:rsidR="006E7FF8" w:rsidRPr="006E7FF8" w:rsidTr="006E7FF8">
        <w:trPr>
          <w:jc w:val="center"/>
        </w:trPr>
        <w:tc>
          <w:tcPr>
            <w:tcW w:w="482" w:type="pct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2406" w:type="pct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896" w:type="pct"/>
            <w:vAlign w:val="center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Проценты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39,0</w:t>
            </w:r>
          </w:p>
        </w:tc>
        <w:tc>
          <w:tcPr>
            <w:tcW w:w="608" w:type="pct"/>
            <w:vAlign w:val="center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36,7</w:t>
            </w:r>
          </w:p>
        </w:tc>
      </w:tr>
      <w:tr w:rsidR="006E7FF8" w:rsidRPr="006E7FF8" w:rsidTr="006E7FF8">
        <w:trPr>
          <w:jc w:val="center"/>
        </w:trPr>
        <w:tc>
          <w:tcPr>
            <w:tcW w:w="482" w:type="pct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2406" w:type="pct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Объем трудового участия заинтересованных лиц в выполнении минимального перечня работ по благоустройству дворовых территорий  </w:t>
            </w:r>
          </w:p>
        </w:tc>
        <w:tc>
          <w:tcPr>
            <w:tcW w:w="896" w:type="pct"/>
            <w:vAlign w:val="center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Чел</w:t>
            </w:r>
            <w:r w:rsidRPr="006E7FF8">
              <w:rPr>
                <w:rFonts w:ascii="Times New Roman" w:eastAsia="Times New Roman" w:hAnsi="Times New Roman"/>
                <w:szCs w:val="20"/>
                <w:lang w:val="en-US" w:eastAsia="ru-RU"/>
              </w:rPr>
              <w:t>/</w:t>
            </w: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часы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200</w:t>
            </w:r>
          </w:p>
        </w:tc>
        <w:tc>
          <w:tcPr>
            <w:tcW w:w="608" w:type="pct"/>
            <w:vAlign w:val="center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200</w:t>
            </w:r>
          </w:p>
        </w:tc>
      </w:tr>
      <w:tr w:rsidR="006E7FF8" w:rsidRPr="006E7FF8" w:rsidTr="006E7FF8">
        <w:trPr>
          <w:jc w:val="center"/>
        </w:trPr>
        <w:tc>
          <w:tcPr>
            <w:tcW w:w="482" w:type="pct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2406" w:type="pct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896" w:type="pct"/>
            <w:vAlign w:val="center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Чел</w:t>
            </w:r>
            <w:r w:rsidRPr="006E7FF8">
              <w:rPr>
                <w:rFonts w:ascii="Times New Roman" w:eastAsia="Times New Roman" w:hAnsi="Times New Roman"/>
                <w:szCs w:val="20"/>
                <w:lang w:val="en-US" w:eastAsia="ru-RU"/>
              </w:rPr>
              <w:t>/</w:t>
            </w: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часы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200</w:t>
            </w:r>
          </w:p>
        </w:tc>
        <w:tc>
          <w:tcPr>
            <w:tcW w:w="608" w:type="pct"/>
            <w:vAlign w:val="center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200</w:t>
            </w:r>
          </w:p>
        </w:tc>
      </w:tr>
      <w:tr w:rsidR="006E7FF8" w:rsidRPr="006E7FF8" w:rsidTr="006E7FF8">
        <w:trPr>
          <w:jc w:val="center"/>
        </w:trPr>
        <w:tc>
          <w:tcPr>
            <w:tcW w:w="482" w:type="pct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2406" w:type="pct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Объем финансирования за счет всех источников</w:t>
            </w:r>
          </w:p>
        </w:tc>
        <w:tc>
          <w:tcPr>
            <w:tcW w:w="896" w:type="pct"/>
            <w:vAlign w:val="center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тыс. руб.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35 610,3</w:t>
            </w:r>
          </w:p>
        </w:tc>
        <w:tc>
          <w:tcPr>
            <w:tcW w:w="608" w:type="pct"/>
            <w:vAlign w:val="center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35 144,8</w:t>
            </w:r>
          </w:p>
        </w:tc>
      </w:tr>
    </w:tbl>
    <w:p w:rsidR="006E7FF8" w:rsidRDefault="006E7FF8" w:rsidP="00BA6D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D9F" w:rsidRDefault="00BA6D9F" w:rsidP="00BA6D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D9F">
        <w:rPr>
          <w:rFonts w:ascii="Times New Roman" w:hAnsi="Times New Roman" w:cs="Times New Roman"/>
          <w:sz w:val="28"/>
          <w:szCs w:val="28"/>
        </w:rPr>
        <w:t xml:space="preserve">Запланированные мероприятия муниципальной программы выполнены на 94,27%. </w:t>
      </w:r>
    </w:p>
    <w:p w:rsidR="006C72F5" w:rsidRPr="00BA6D9F" w:rsidRDefault="006C72F5" w:rsidP="00BA6D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D9F">
        <w:rPr>
          <w:rFonts w:ascii="Times New Roman" w:hAnsi="Times New Roman" w:cs="Times New Roman"/>
          <w:sz w:val="28"/>
          <w:szCs w:val="28"/>
        </w:rPr>
        <w:t>Оценка эффективности реализации в 2018 году муниципальной программы рассчитана как средняя взвешенная всех оценок по удельному весу объемов финансирования соответствующих подпрограмм, входящих в состав муниципальной программы.</w:t>
      </w:r>
    </w:p>
    <w:p w:rsidR="00BA6D9F" w:rsidRDefault="00BA6D9F" w:rsidP="00BA6D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D9F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 составил 98,98%.</w:t>
      </w:r>
    </w:p>
    <w:p w:rsidR="008B2D23" w:rsidRDefault="00BA6D9F" w:rsidP="009103F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Постановлением Администрации Промышленного внутригородского района городского округа Самара от 24.08.2017 № 123 "Об утверждении Порядка разработки, реализации и оценки эффективности муниципальных программ Промышленного внутригородского района городского округа Самара" при </w:t>
      </w:r>
      <w:r w:rsidR="005A7B36">
        <w:rPr>
          <w:rFonts w:ascii="Times New Roman" w:hAnsi="Times New Roman" w:cs="Times New Roman"/>
          <w:sz w:val="28"/>
          <w:szCs w:val="28"/>
        </w:rPr>
        <w:t xml:space="preserve">значении </w:t>
      </w:r>
      <w:r w:rsidRPr="00BA6D9F">
        <w:rPr>
          <w:rFonts w:ascii="Times New Roman" w:hAnsi="Times New Roman" w:cs="Times New Roman"/>
          <w:sz w:val="28"/>
          <w:szCs w:val="28"/>
        </w:rPr>
        <w:t>степени выполнения мероприятий муниципальной программы</w:t>
      </w:r>
      <w:r w:rsidR="005A7B36">
        <w:rPr>
          <w:rFonts w:ascii="Times New Roman" w:hAnsi="Times New Roman" w:cs="Times New Roman"/>
          <w:sz w:val="28"/>
          <w:szCs w:val="28"/>
        </w:rPr>
        <w:t xml:space="preserve"> 94,27% и </w:t>
      </w:r>
      <w:r w:rsidRPr="00BA6D9F">
        <w:rPr>
          <w:rFonts w:ascii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</w:t>
      </w:r>
      <w:r w:rsidR="005A7B36">
        <w:rPr>
          <w:rFonts w:ascii="Times New Roman" w:hAnsi="Times New Roman" w:cs="Times New Roman"/>
          <w:sz w:val="28"/>
          <w:szCs w:val="28"/>
        </w:rPr>
        <w:t xml:space="preserve"> 98,98% - </w:t>
      </w:r>
      <w:r w:rsidR="00096693" w:rsidRPr="00096693">
        <w:rPr>
          <w:rFonts w:ascii="Times New Roman" w:hAnsi="Times New Roman" w:cs="Times New Roman"/>
          <w:b/>
          <w:i/>
          <w:sz w:val="28"/>
          <w:szCs w:val="28"/>
        </w:rPr>
        <w:t>реализация</w:t>
      </w:r>
      <w:r w:rsidR="00096693">
        <w:rPr>
          <w:rFonts w:ascii="Times New Roman" w:hAnsi="Times New Roman" w:cs="Times New Roman"/>
          <w:sz w:val="28"/>
          <w:szCs w:val="28"/>
        </w:rPr>
        <w:t xml:space="preserve"> </w:t>
      </w:r>
      <w:r w:rsidR="005A7B36" w:rsidRPr="006E7FF8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6E7FF8">
        <w:rPr>
          <w:rFonts w:ascii="Times New Roman" w:hAnsi="Times New Roman" w:cs="Times New Roman"/>
          <w:b/>
          <w:i/>
          <w:sz w:val="28"/>
          <w:szCs w:val="28"/>
        </w:rPr>
        <w:t>униципальн</w:t>
      </w:r>
      <w:r w:rsidR="00096693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6E7FF8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="00096693">
        <w:rPr>
          <w:rFonts w:ascii="Times New Roman" w:hAnsi="Times New Roman" w:cs="Times New Roman"/>
          <w:b/>
          <w:i/>
          <w:sz w:val="28"/>
          <w:szCs w:val="28"/>
        </w:rPr>
        <w:t>рограммы</w:t>
      </w:r>
      <w:r w:rsidR="005A7B36" w:rsidRPr="006E7FF8">
        <w:rPr>
          <w:rFonts w:ascii="Times New Roman" w:hAnsi="Times New Roman" w:cs="Times New Roman"/>
          <w:b/>
          <w:i/>
          <w:sz w:val="28"/>
          <w:szCs w:val="28"/>
        </w:rPr>
        <w:t xml:space="preserve"> является эффективной</w:t>
      </w:r>
      <w:bookmarkStart w:id="0" w:name="_GoBack"/>
      <w:bookmarkEnd w:id="0"/>
    </w:p>
    <w:sectPr w:rsidR="008B2D23" w:rsidSect="00697C92">
      <w:pgSz w:w="11906" w:h="16838"/>
      <w:pgMar w:top="1440" w:right="567" w:bottom="144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531" w:rsidRDefault="00727531" w:rsidP="00D63B44">
      <w:pPr>
        <w:spacing w:after="0" w:line="240" w:lineRule="auto"/>
      </w:pPr>
      <w:r>
        <w:separator/>
      </w:r>
    </w:p>
  </w:endnote>
  <w:endnote w:type="continuationSeparator" w:id="0">
    <w:p w:rsidR="00727531" w:rsidRDefault="00727531" w:rsidP="00D6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531" w:rsidRDefault="00727531" w:rsidP="00D63B44">
      <w:pPr>
        <w:spacing w:after="0" w:line="240" w:lineRule="auto"/>
      </w:pPr>
      <w:r>
        <w:separator/>
      </w:r>
    </w:p>
  </w:footnote>
  <w:footnote w:type="continuationSeparator" w:id="0">
    <w:p w:rsidR="00727531" w:rsidRDefault="00727531" w:rsidP="00D63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F5"/>
    <w:rsid w:val="000264FF"/>
    <w:rsid w:val="00096693"/>
    <w:rsid w:val="00314132"/>
    <w:rsid w:val="00412BC4"/>
    <w:rsid w:val="005642AA"/>
    <w:rsid w:val="005A7B36"/>
    <w:rsid w:val="006C72F5"/>
    <w:rsid w:val="006E7FF8"/>
    <w:rsid w:val="00727531"/>
    <w:rsid w:val="008B2D23"/>
    <w:rsid w:val="009103FD"/>
    <w:rsid w:val="00BA6D9F"/>
    <w:rsid w:val="00C91D9A"/>
    <w:rsid w:val="00D6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61DA"/>
  <w15:docId w15:val="{DD4A84D0-A27D-418A-9646-1CE4591B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63B4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Текст сноски Знак"/>
    <w:basedOn w:val="a0"/>
    <w:link w:val="a3"/>
    <w:uiPriority w:val="99"/>
    <w:rsid w:val="00D63B44"/>
    <w:rPr>
      <w:rFonts w:ascii="Calibri" w:eastAsia="Calibri" w:hAnsi="Calibri" w:cs="Times New Roman"/>
      <w:sz w:val="24"/>
      <w:szCs w:val="24"/>
    </w:rPr>
  </w:style>
  <w:style w:type="character" w:styleId="a5">
    <w:name w:val="footnote reference"/>
    <w:uiPriority w:val="99"/>
    <w:unhideWhenUsed/>
    <w:rsid w:val="00D63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Слистина Зинаида Вилориевна</cp:lastModifiedBy>
  <cp:revision>3</cp:revision>
  <cp:lastPrinted>2019-07-19T07:25:00Z</cp:lastPrinted>
  <dcterms:created xsi:type="dcterms:W3CDTF">2019-07-19T08:12:00Z</dcterms:created>
  <dcterms:modified xsi:type="dcterms:W3CDTF">2019-07-19T08:13:00Z</dcterms:modified>
</cp:coreProperties>
</file>